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7603" w14:textId="77777777" w:rsidR="004B1FAF" w:rsidRPr="009701A9" w:rsidRDefault="00E24DEE" w:rsidP="00336B7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701A9">
        <w:rPr>
          <w:rFonts w:ascii="Arial" w:hAnsi="Arial" w:cs="Arial"/>
          <w:b/>
          <w:sz w:val="32"/>
          <w:szCs w:val="32"/>
        </w:rPr>
        <w:t>Statement of Reasons</w:t>
      </w:r>
    </w:p>
    <w:p w14:paraId="617033B2" w14:textId="3439EF41" w:rsidR="00E24DEE" w:rsidRPr="00D46CD9" w:rsidRDefault="00D46CD9" w:rsidP="00336B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46CD9">
        <w:rPr>
          <w:rFonts w:ascii="Arial" w:hAnsi="Arial" w:cs="Arial"/>
          <w:b/>
          <w:sz w:val="24"/>
          <w:szCs w:val="24"/>
        </w:rPr>
        <w:t>BUCKINGHAMSHIRE COUNCIL</w:t>
      </w:r>
    </w:p>
    <w:p w14:paraId="287C0F01" w14:textId="5DC6B8C5" w:rsidR="00E24DEE" w:rsidRPr="009701A9" w:rsidRDefault="009701A9" w:rsidP="00336B7E">
      <w:pPr>
        <w:pStyle w:val="NoSpacing"/>
        <w:jc w:val="center"/>
        <w:rPr>
          <w:rFonts w:ascii="Arial" w:hAnsi="Arial" w:cs="Arial"/>
          <w:b/>
        </w:rPr>
      </w:pPr>
      <w:r w:rsidRPr="009701A9">
        <w:rPr>
          <w:rFonts w:ascii="Arial" w:hAnsi="Arial" w:cs="Arial"/>
          <w:b/>
        </w:rPr>
        <w:t>Hicks Farm Rise</w:t>
      </w:r>
      <w:r w:rsidR="00336B7E" w:rsidRPr="009701A9">
        <w:rPr>
          <w:rFonts w:ascii="Arial" w:hAnsi="Arial" w:cs="Arial"/>
          <w:b/>
        </w:rPr>
        <w:t xml:space="preserve">, </w:t>
      </w:r>
      <w:r w:rsidRPr="009701A9">
        <w:rPr>
          <w:rFonts w:ascii="Arial" w:hAnsi="Arial" w:cs="Arial"/>
          <w:b/>
        </w:rPr>
        <w:t>High Wycombe</w:t>
      </w:r>
      <w:r w:rsidR="00336B7E" w:rsidRPr="009701A9">
        <w:rPr>
          <w:rFonts w:ascii="Arial" w:hAnsi="Arial" w:cs="Arial"/>
          <w:b/>
        </w:rPr>
        <w:t xml:space="preserve"> – Speed Cushions</w:t>
      </w:r>
    </w:p>
    <w:p w14:paraId="3A585CF3" w14:textId="77777777" w:rsidR="00E24DEE" w:rsidRPr="002555BC" w:rsidRDefault="00E24DEE" w:rsidP="00336B7E">
      <w:pPr>
        <w:jc w:val="center"/>
        <w:rPr>
          <w:highlight w:val="yellow"/>
        </w:rPr>
      </w:pPr>
    </w:p>
    <w:p w14:paraId="158D22EB" w14:textId="77777777" w:rsidR="009701A9" w:rsidRPr="00965034" w:rsidRDefault="009701A9" w:rsidP="009701A9">
      <w:pPr>
        <w:ind w:left="720"/>
        <w:rPr>
          <w:rFonts w:cstheme="minorHAnsi"/>
        </w:rPr>
      </w:pPr>
      <w:r w:rsidRPr="00965034">
        <w:rPr>
          <w:rFonts w:cstheme="minorHAnsi"/>
        </w:rPr>
        <w:t xml:space="preserve">Proposed ‘traffic calming’ features are to be introduced on </w:t>
      </w:r>
      <w:r w:rsidRPr="00965034">
        <w:t xml:space="preserve">Baring Road </w:t>
      </w:r>
      <w:r w:rsidRPr="00965034">
        <w:rPr>
          <w:rFonts w:cstheme="minorHAnsi"/>
        </w:rPr>
        <w:t xml:space="preserve">and </w:t>
      </w:r>
      <w:proofErr w:type="spellStart"/>
      <w:r w:rsidRPr="00965034">
        <w:rPr>
          <w:rFonts w:cstheme="minorHAnsi"/>
        </w:rPr>
        <w:t>Gayhurst</w:t>
      </w:r>
      <w:proofErr w:type="spellEnd"/>
      <w:r w:rsidRPr="00965034">
        <w:rPr>
          <w:rFonts w:cstheme="minorHAnsi"/>
        </w:rPr>
        <w:t xml:space="preserve"> Road for the following reasons: - </w:t>
      </w:r>
    </w:p>
    <w:p w14:paraId="62814A2A" w14:textId="77777777" w:rsidR="009701A9" w:rsidRPr="00965034" w:rsidRDefault="009701A9" w:rsidP="009701A9">
      <w:pPr>
        <w:pStyle w:val="Style1"/>
        <w:numPr>
          <w:ilvl w:val="2"/>
          <w:numId w:val="1"/>
        </w:numPr>
        <w:rPr>
          <w:i/>
          <w:iCs/>
        </w:rPr>
      </w:pPr>
      <w:r w:rsidRPr="00965034">
        <w:rPr>
          <w:i/>
          <w:iCs/>
        </w:rPr>
        <w:t xml:space="preserve">For avoiding danger to persons or other traffic using the road or any other road or for preventing the likelihood of any such danger arising. </w:t>
      </w:r>
    </w:p>
    <w:p w14:paraId="15072153" w14:textId="77777777" w:rsidR="009701A9" w:rsidRDefault="009701A9" w:rsidP="009701A9">
      <w:pPr>
        <w:pStyle w:val="Style1"/>
        <w:numPr>
          <w:ilvl w:val="2"/>
          <w:numId w:val="1"/>
        </w:numPr>
        <w:rPr>
          <w:i/>
          <w:iCs/>
        </w:rPr>
      </w:pPr>
      <w:r w:rsidRPr="00965034">
        <w:rPr>
          <w:i/>
          <w:iCs/>
        </w:rPr>
        <w:t>For facilitating the passage on the road or any other road of any class of traffic (including pedestrians).</w:t>
      </w:r>
    </w:p>
    <w:p w14:paraId="156432BF" w14:textId="18F22D74" w:rsidR="00D46CD9" w:rsidRDefault="009701A9" w:rsidP="00D46CD9">
      <w:pPr>
        <w:pStyle w:val="Style1"/>
        <w:numPr>
          <w:ilvl w:val="2"/>
          <w:numId w:val="1"/>
        </w:numPr>
        <w:rPr>
          <w:i/>
          <w:iCs/>
        </w:rPr>
      </w:pPr>
      <w:r w:rsidRPr="0097241B">
        <w:rPr>
          <w:i/>
          <w:iCs/>
        </w:rPr>
        <w:t>For preserving or improving the amenities of the area through which the road runs.</w:t>
      </w:r>
    </w:p>
    <w:p w14:paraId="3FA24876" w14:textId="060B3C82" w:rsidR="00D46CD9" w:rsidRDefault="00D46CD9" w:rsidP="00D46CD9">
      <w:pPr>
        <w:ind w:left="720"/>
        <w:rPr>
          <w:rFonts w:cstheme="minorHAnsi"/>
        </w:rPr>
      </w:pPr>
      <w:r w:rsidRPr="00D46CD9">
        <w:rPr>
          <w:rFonts w:cstheme="minorHAnsi"/>
        </w:rPr>
        <w:t xml:space="preserve">The scheme </w:t>
      </w:r>
      <w:r w:rsidR="00A97664">
        <w:rPr>
          <w:rFonts w:cstheme="minorHAnsi"/>
        </w:rPr>
        <w:t>shall</w:t>
      </w:r>
      <w:r w:rsidRPr="00D46CD9">
        <w:rPr>
          <w:rFonts w:cstheme="minorHAnsi"/>
        </w:rPr>
        <w:t xml:space="preserve"> involve the use of speed cushions</w:t>
      </w:r>
      <w:r w:rsidR="00A97664" w:rsidRPr="00A97664">
        <w:rPr>
          <w:rFonts w:cstheme="minorHAnsi"/>
        </w:rPr>
        <w:t xml:space="preserve"> </w:t>
      </w:r>
      <w:r w:rsidR="00A97664">
        <w:rPr>
          <w:rFonts w:cstheme="minorHAnsi"/>
        </w:rPr>
        <w:t xml:space="preserve">and </w:t>
      </w:r>
      <w:r w:rsidR="00A97664" w:rsidRPr="00D46CD9">
        <w:rPr>
          <w:rFonts w:cstheme="minorHAnsi"/>
        </w:rPr>
        <w:t>warning signs</w:t>
      </w:r>
      <w:r w:rsidRPr="00D46CD9">
        <w:rPr>
          <w:rFonts w:cstheme="minorHAnsi"/>
        </w:rPr>
        <w:t xml:space="preserve">. </w:t>
      </w:r>
      <w:r w:rsidR="00A97664">
        <w:rPr>
          <w:rFonts w:cstheme="minorHAnsi"/>
        </w:rPr>
        <w:t>This proposal</w:t>
      </w:r>
      <w:r w:rsidRPr="00D46CD9">
        <w:rPr>
          <w:rFonts w:cstheme="minorHAnsi"/>
        </w:rPr>
        <w:t xml:space="preserve"> will help improve the environment for residents, pedestrians and cyclists by restricting vehicle speeds a</w:t>
      </w:r>
      <w:r>
        <w:rPr>
          <w:rFonts w:cstheme="minorHAnsi"/>
        </w:rPr>
        <w:t>s well as</w:t>
      </w:r>
      <w:r w:rsidRPr="00D46CD9">
        <w:rPr>
          <w:rFonts w:cstheme="minorHAnsi"/>
        </w:rPr>
        <w:t xml:space="preserve"> improving road safety</w:t>
      </w:r>
      <w:r>
        <w:rPr>
          <w:rFonts w:cstheme="minorHAnsi"/>
        </w:rPr>
        <w:t>.</w:t>
      </w:r>
    </w:p>
    <w:p w14:paraId="256DC5C7" w14:textId="77777777" w:rsidR="00D46CD9" w:rsidRPr="00D46CD9" w:rsidRDefault="00D46CD9" w:rsidP="00D46CD9">
      <w:pPr>
        <w:ind w:left="720"/>
        <w:rPr>
          <w:rFonts w:cstheme="minorHAnsi"/>
        </w:rPr>
      </w:pPr>
    </w:p>
    <w:p w14:paraId="753455A8" w14:textId="77777777" w:rsidR="00D46CD9" w:rsidRDefault="00D46CD9" w:rsidP="00D46CD9">
      <w:pPr>
        <w:spacing w:after="0"/>
      </w:pPr>
      <w:r w:rsidRPr="00D46CD9">
        <w:rPr>
          <w:b/>
          <w:bCs/>
        </w:rPr>
        <w:t>Road Traffic Regulation Act 1984</w:t>
      </w:r>
      <w:r>
        <w:t xml:space="preserve"> </w:t>
      </w:r>
    </w:p>
    <w:p w14:paraId="7C334BE4" w14:textId="77777777" w:rsidR="00D46CD9" w:rsidRDefault="00D46CD9" w:rsidP="009701A9">
      <w:r>
        <w:t xml:space="preserve">Thorough consideration was given to the factors set out in Section 122 of the Road Traffic Regulation Act 1984. </w:t>
      </w:r>
    </w:p>
    <w:p w14:paraId="4FD08DC3" w14:textId="77777777" w:rsidR="00D46CD9" w:rsidRPr="00D46CD9" w:rsidRDefault="00D46CD9" w:rsidP="00D46CD9">
      <w:pPr>
        <w:spacing w:after="0"/>
        <w:rPr>
          <w:b/>
          <w:bCs/>
        </w:rPr>
      </w:pPr>
      <w:r w:rsidRPr="00D46CD9">
        <w:rPr>
          <w:b/>
          <w:bCs/>
        </w:rPr>
        <w:t xml:space="preserve">Highways Act 1980 </w:t>
      </w:r>
    </w:p>
    <w:p w14:paraId="1109A052" w14:textId="6B01D6F0" w:rsidR="00D46CD9" w:rsidRDefault="00D46CD9" w:rsidP="009701A9">
      <w:r>
        <w:t>The specific grounds which the County Council are using for the implementation of the speed cushions are contained in Section 90A of The Highways Act 1980 - Construction of road humps by highway authority</w:t>
      </w:r>
      <w:r>
        <w:t>:</w:t>
      </w:r>
    </w:p>
    <w:p w14:paraId="678B7C2C" w14:textId="77777777" w:rsidR="00D46CD9" w:rsidRDefault="00D46CD9" w:rsidP="00D46CD9">
      <w:pPr>
        <w:spacing w:after="0"/>
      </w:pPr>
      <w:r>
        <w:t xml:space="preserve">(1) A highway authority may construct road humps in a highway maintainable at the public expense for which they are the highway authority if— </w:t>
      </w:r>
    </w:p>
    <w:p w14:paraId="409FA9DA" w14:textId="25DFE818" w:rsidR="00D46CD9" w:rsidRDefault="00D46CD9" w:rsidP="009701A9">
      <w:r>
        <w:t>(a)</w:t>
      </w:r>
      <w:r>
        <w:t xml:space="preserve"> </w:t>
      </w:r>
      <w:r>
        <w:t>the highway is subject to a statutory speed limit for motor vehicles of 30 miles per hour or less;</w:t>
      </w:r>
    </w:p>
    <w:p w14:paraId="06F9CDC3" w14:textId="77777777" w:rsidR="00D46CD9" w:rsidRPr="00D46CD9" w:rsidRDefault="00D46CD9" w:rsidP="00D46CD9">
      <w:pPr>
        <w:spacing w:after="0"/>
        <w:rPr>
          <w:b/>
          <w:bCs/>
        </w:rPr>
      </w:pPr>
      <w:r w:rsidRPr="00D46CD9">
        <w:rPr>
          <w:b/>
          <w:bCs/>
        </w:rPr>
        <w:t xml:space="preserve">Traffic Signs Regulations and General Directions 2016 </w:t>
      </w:r>
    </w:p>
    <w:p w14:paraId="0E12AC5D" w14:textId="77777777" w:rsidR="00D46CD9" w:rsidRDefault="00D46CD9" w:rsidP="009701A9">
      <w:r>
        <w:t xml:space="preserve">Any associated signing and lining will be in accordance with Traffic Signs Regulations and General Directions 2016. </w:t>
      </w:r>
    </w:p>
    <w:p w14:paraId="151ED689" w14:textId="77777777" w:rsidR="00D46CD9" w:rsidRPr="00D46CD9" w:rsidRDefault="00D46CD9" w:rsidP="00D46CD9">
      <w:pPr>
        <w:spacing w:after="0"/>
        <w:rPr>
          <w:b/>
          <w:bCs/>
        </w:rPr>
      </w:pPr>
      <w:r w:rsidRPr="00D46CD9">
        <w:rPr>
          <w:b/>
          <w:bCs/>
        </w:rPr>
        <w:t xml:space="preserve">Equality Act 2010 </w:t>
      </w:r>
    </w:p>
    <w:p w14:paraId="2FF58F04" w14:textId="7D6B36B6" w:rsidR="00336B7E" w:rsidRPr="00336B7E" w:rsidRDefault="00D46CD9" w:rsidP="009701A9">
      <w:r>
        <w:t>Thorough consideration was given to the equalities duty of the County Council under Section 149 of the Equality Act 2010.</w:t>
      </w:r>
    </w:p>
    <w:sectPr w:rsidR="00336B7E" w:rsidRPr="00336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64E"/>
    <w:multiLevelType w:val="multilevel"/>
    <w:tmpl w:val="46348B92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Style1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454"/>
      </w:pPr>
      <w:rPr>
        <w:rFonts w:ascii="Calibri" w:hAnsi="Calibri" w:hint="default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680"/>
      </w:pPr>
      <w:rPr>
        <w:rFonts w:hint="default"/>
        <w:b w:val="0"/>
        <w:i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680"/>
      </w:pPr>
      <w:rPr>
        <w:rFonts w:ascii="Symbol" w:hAnsi="Symbol" w:hint="default"/>
        <w:color w:val="auto"/>
      </w:rPr>
    </w:lvl>
    <w:lvl w:ilvl="5">
      <w:start w:val="1"/>
      <w:numFmt w:val="bullet"/>
      <w:lvlText w:val=""/>
      <w:lvlJc w:val="left"/>
      <w:pPr>
        <w:tabs>
          <w:tab w:val="num" w:pos="2268"/>
        </w:tabs>
        <w:ind w:left="2268" w:hanging="68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"/>
      <w:lvlJc w:val="left"/>
      <w:pPr>
        <w:tabs>
          <w:tab w:val="num" w:pos="2268"/>
        </w:tabs>
        <w:ind w:left="2268" w:hanging="680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268"/>
        </w:tabs>
        <w:ind w:left="2268" w:hanging="68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268"/>
        </w:tabs>
        <w:ind w:left="2268" w:hanging="68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DEE"/>
    <w:rsid w:val="00000F08"/>
    <w:rsid w:val="00035E46"/>
    <w:rsid w:val="000649BB"/>
    <w:rsid w:val="00167A48"/>
    <w:rsid w:val="002555BC"/>
    <w:rsid w:val="002C5C7D"/>
    <w:rsid w:val="002F2528"/>
    <w:rsid w:val="00336B7E"/>
    <w:rsid w:val="004C33D7"/>
    <w:rsid w:val="004F0CF4"/>
    <w:rsid w:val="005A5143"/>
    <w:rsid w:val="00640FE0"/>
    <w:rsid w:val="00656915"/>
    <w:rsid w:val="00852F2E"/>
    <w:rsid w:val="00884193"/>
    <w:rsid w:val="00956594"/>
    <w:rsid w:val="009701A9"/>
    <w:rsid w:val="00A97664"/>
    <w:rsid w:val="00AA5113"/>
    <w:rsid w:val="00BF5DDF"/>
    <w:rsid w:val="00BF607C"/>
    <w:rsid w:val="00C4583B"/>
    <w:rsid w:val="00CA4A69"/>
    <w:rsid w:val="00D46CD9"/>
    <w:rsid w:val="00DD2C6A"/>
    <w:rsid w:val="00E16B9F"/>
    <w:rsid w:val="00E24DEE"/>
    <w:rsid w:val="00E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89B9"/>
  <w15:docId w15:val="{2A9715F6-C454-48B1-B22D-E0DFEA0A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01A9"/>
    <w:pPr>
      <w:keepNext/>
      <w:numPr>
        <w:numId w:val="1"/>
      </w:numPr>
      <w:spacing w:before="240" w:after="240"/>
      <w:outlineLvl w:val="0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D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01A9"/>
    <w:rPr>
      <w:rFonts w:ascii="Calibri" w:eastAsia="Times New Roman" w:hAnsi="Calibri" w:cs="Times New Roman"/>
      <w:b/>
      <w:sz w:val="28"/>
      <w:szCs w:val="20"/>
    </w:rPr>
  </w:style>
  <w:style w:type="paragraph" w:customStyle="1" w:styleId="Style1">
    <w:name w:val="Style1"/>
    <w:basedOn w:val="Normal"/>
    <w:link w:val="Style1Char"/>
    <w:qFormat/>
    <w:rsid w:val="009701A9"/>
    <w:pPr>
      <w:numPr>
        <w:ilvl w:val="1"/>
        <w:numId w:val="1"/>
      </w:numPr>
      <w:spacing w:after="120"/>
    </w:pPr>
    <w:rPr>
      <w:rFonts w:eastAsia="Times New Roman" w:cs="Times New Roman"/>
      <w:sz w:val="24"/>
      <w:szCs w:val="20"/>
    </w:rPr>
  </w:style>
  <w:style w:type="character" w:customStyle="1" w:styleId="Style1Char">
    <w:name w:val="Style1 Char"/>
    <w:basedOn w:val="DefaultParagraphFont"/>
    <w:link w:val="Style1"/>
    <w:rsid w:val="009701A9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Bonsor, Trevor</dc:creator>
  <cp:lastModifiedBy>Bestman Agu</cp:lastModifiedBy>
  <cp:revision>23</cp:revision>
  <dcterms:created xsi:type="dcterms:W3CDTF">2013-12-06T14:28:00Z</dcterms:created>
  <dcterms:modified xsi:type="dcterms:W3CDTF">2022-10-27T11:00:00Z</dcterms:modified>
</cp:coreProperties>
</file>